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E7" w:rsidRDefault="00612C5F"/>
    <w:p w:rsidR="00F0292A" w:rsidRDefault="00F0292A"/>
    <w:p w:rsidR="005D421B" w:rsidRPr="00406D9D" w:rsidRDefault="002006AE" w:rsidP="005D421B">
      <w:pPr>
        <w:pStyle w:val="Prrafodelista"/>
        <w:numPr>
          <w:ilvl w:val="0"/>
          <w:numId w:val="1"/>
        </w:numPr>
        <w:spacing w:after="0" w:line="240" w:lineRule="auto"/>
        <w:ind w:left="540" w:right="-567" w:hanging="180"/>
        <w:jc w:val="both"/>
        <w:rPr>
          <w:rFonts w:ascii="Cambria" w:hAnsi="Cambria" w:cs="Arial"/>
          <w:b/>
          <w:color w:val="000000"/>
          <w:sz w:val="24"/>
          <w:szCs w:val="24"/>
        </w:rPr>
      </w:pPr>
      <w:r>
        <w:t>.</w:t>
      </w:r>
      <w:r w:rsidR="005D421B" w:rsidRPr="005D421B">
        <w:rPr>
          <w:rFonts w:ascii="Cambria" w:hAnsi="Cambria" w:cs="Arial"/>
          <w:b/>
          <w:color w:val="000000"/>
          <w:sz w:val="24"/>
          <w:szCs w:val="24"/>
        </w:rPr>
        <w:t xml:space="preserve"> </w:t>
      </w:r>
      <w:r w:rsidR="005D421B" w:rsidRPr="00406D9D">
        <w:rPr>
          <w:rFonts w:ascii="Cambria" w:hAnsi="Cambria" w:cs="Arial"/>
          <w:b/>
          <w:color w:val="000000"/>
          <w:sz w:val="24"/>
          <w:szCs w:val="24"/>
        </w:rPr>
        <w:t>PLAN DE TRABAJO “BIBLIOTECA Y PLAN DE LECTURA”</w:t>
      </w:r>
    </w:p>
    <w:p w:rsidR="005D421B" w:rsidRDefault="005D421B" w:rsidP="005D421B">
      <w:pPr>
        <w:pStyle w:val="Prrafodelista"/>
        <w:spacing w:after="0" w:line="240" w:lineRule="auto"/>
        <w:ind w:right="-567"/>
        <w:jc w:val="both"/>
        <w:rPr>
          <w:rFonts w:ascii="Cambria" w:hAnsi="Cambria" w:cs="Cambria"/>
          <w:b/>
          <w:color w:val="000000"/>
          <w:sz w:val="24"/>
          <w:szCs w:val="24"/>
        </w:rPr>
      </w:pPr>
    </w:p>
    <w:tbl>
      <w:tblPr>
        <w:tblW w:w="0" w:type="auto"/>
        <w:tblInd w:w="-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60"/>
        <w:gridCol w:w="2227"/>
      </w:tblGrid>
      <w:tr w:rsidR="005D421B" w:rsidTr="003D2779">
        <w:trPr>
          <w:cantSplit/>
        </w:trPr>
        <w:tc>
          <w:tcPr>
            <w:tcW w:w="9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1B" w:rsidRDefault="005D421B" w:rsidP="005D421B">
            <w:pPr>
              <w:pStyle w:val="Ttulo5"/>
              <w:numPr>
                <w:ilvl w:val="4"/>
                <w:numId w:val="2"/>
              </w:numPr>
              <w:suppressAutoHyphens/>
              <w:spacing w:before="0" w:after="0"/>
              <w:jc w:val="center"/>
              <w:rPr>
                <w:rFonts w:ascii="Cambria" w:hAnsi="Cambria" w:cs="Cambria"/>
                <w:i w:val="0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 w:val="0"/>
                <w:color w:val="000000"/>
                <w:sz w:val="24"/>
                <w:szCs w:val="24"/>
              </w:rPr>
              <w:t xml:space="preserve">PLAN DE TRABAJO COMISIÓN DE BIBLIOTECA ESCOLAR </w:t>
            </w:r>
          </w:p>
          <w:p w:rsidR="005D421B" w:rsidRDefault="005D421B" w:rsidP="005D421B">
            <w:pPr>
              <w:pStyle w:val="Ttulo5"/>
              <w:numPr>
                <w:ilvl w:val="4"/>
                <w:numId w:val="2"/>
              </w:numPr>
              <w:suppressAutoHyphens/>
              <w:spacing w:before="0" w:after="0"/>
              <w:jc w:val="center"/>
            </w:pPr>
            <w:r>
              <w:rPr>
                <w:rFonts w:ascii="Cambria" w:hAnsi="Cambria" w:cs="Cambria"/>
                <w:i w:val="0"/>
                <w:color w:val="000000"/>
                <w:sz w:val="24"/>
                <w:szCs w:val="24"/>
              </w:rPr>
              <w:t>Y PLAN DE LECTURA</w:t>
            </w:r>
          </w:p>
        </w:tc>
      </w:tr>
      <w:tr w:rsidR="005D421B" w:rsidTr="003D2779">
        <w:trPr>
          <w:cantSplit/>
        </w:trPr>
        <w:tc>
          <w:tcPr>
            <w:tcW w:w="9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1B" w:rsidRDefault="005D421B" w:rsidP="005D421B">
            <w:pPr>
              <w:pStyle w:val="Ttulo5"/>
              <w:numPr>
                <w:ilvl w:val="4"/>
                <w:numId w:val="2"/>
              </w:numPr>
              <w:suppressAutoHyphens/>
              <w:spacing w:before="0" w:after="0"/>
              <w:jc w:val="center"/>
            </w:pPr>
            <w:r>
              <w:rPr>
                <w:rFonts w:ascii="Cambria" w:hAnsi="Cambria" w:cs="Cambria"/>
                <w:i w:val="0"/>
                <w:color w:val="000000"/>
                <w:sz w:val="24"/>
                <w:szCs w:val="24"/>
              </w:rPr>
              <w:t>OBJETIVOS GENERALES</w:t>
            </w:r>
          </w:p>
        </w:tc>
      </w:tr>
      <w:tr w:rsidR="005D421B" w:rsidTr="003D2779">
        <w:trPr>
          <w:cantSplit/>
        </w:trPr>
        <w:tc>
          <w:tcPr>
            <w:tcW w:w="9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1B" w:rsidRDefault="005D421B" w:rsidP="003D2779">
            <w:pPr>
              <w:snapToGri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D97D91" w:rsidRPr="00D97D91" w:rsidRDefault="005D421B" w:rsidP="005D421B">
            <w:pPr>
              <w:numPr>
                <w:ilvl w:val="0"/>
                <w:numId w:val="5"/>
              </w:numPr>
              <w:suppressAutoHyphens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97D91">
              <w:rPr>
                <w:rFonts w:ascii="Cambria" w:hAnsi="Cambria" w:cs="Cambria"/>
                <w:color w:val="000000"/>
                <w:sz w:val="24"/>
                <w:szCs w:val="24"/>
              </w:rPr>
              <w:t>Ha</w:t>
            </w:r>
            <w:r w:rsidR="00D97D91" w:rsidRPr="00D97D91">
              <w:rPr>
                <w:rFonts w:ascii="Cambria" w:hAnsi="Cambria" w:cs="Cambria"/>
                <w:color w:val="000000"/>
                <w:sz w:val="24"/>
                <w:szCs w:val="24"/>
              </w:rPr>
              <w:t>cer de la biblioteca un  espacio donde se hace realidad el placer por la lectura</w:t>
            </w:r>
            <w:r w:rsidR="00D97D91" w:rsidRPr="00D97D91">
              <w:rPr>
                <w:rFonts w:asciiTheme="minorHAnsi" w:hAnsiTheme="minorHAnsi" w:cstheme="minorHAnsi"/>
                <w:sz w:val="24"/>
                <w:szCs w:val="24"/>
              </w:rPr>
              <w:t xml:space="preserve"> en un ambiente</w:t>
            </w:r>
            <w:r w:rsidR="00D97D91">
              <w:rPr>
                <w:rFonts w:asciiTheme="minorHAnsi" w:hAnsiTheme="minorHAnsi" w:cstheme="minorHAnsi"/>
                <w:sz w:val="24"/>
                <w:szCs w:val="24"/>
              </w:rPr>
              <w:t xml:space="preserve"> de aprendizaje informal, que </w:t>
            </w:r>
            <w:r w:rsidR="00D97D91" w:rsidRPr="00D97D91">
              <w:rPr>
                <w:rFonts w:asciiTheme="minorHAnsi" w:hAnsiTheme="minorHAnsi" w:cstheme="minorHAnsi"/>
                <w:sz w:val="24"/>
                <w:szCs w:val="24"/>
              </w:rPr>
              <w:t xml:space="preserve"> permitirá al niño practicar sus habilidades lectoras, avanzando a su propio ritmo.</w:t>
            </w:r>
          </w:p>
          <w:p w:rsidR="005D421B" w:rsidRPr="00D97D91" w:rsidRDefault="005D421B" w:rsidP="005D421B">
            <w:pPr>
              <w:numPr>
                <w:ilvl w:val="0"/>
                <w:numId w:val="5"/>
              </w:numPr>
              <w:suppressAutoHyphens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D97D91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Fomentar en nuestro alumnado el hábito y el placer por la </w:t>
            </w:r>
            <w:r w:rsidR="005B0629" w:rsidRPr="00D97D91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lectura. </w:t>
            </w:r>
            <w:r w:rsidRPr="00D97D91">
              <w:rPr>
                <w:rFonts w:ascii="Cambria" w:hAnsi="Cambria" w:cs="Cambria"/>
                <w:color w:val="000000"/>
                <w:sz w:val="24"/>
                <w:szCs w:val="24"/>
              </w:rPr>
              <w:t>X</w:t>
            </w:r>
            <w:r w:rsidR="005B0629" w:rsidRPr="00D97D91">
              <w:rPr>
                <w:rFonts w:ascii="Cambria" w:hAnsi="Cambria" w:cs="Cambria"/>
                <w:color w:val="000000"/>
                <w:sz w:val="24"/>
                <w:szCs w:val="24"/>
              </w:rPr>
              <w:t>I</w:t>
            </w:r>
            <w:r w:rsidRPr="00D97D91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 Exposición Creativa.</w:t>
            </w:r>
          </w:p>
          <w:p w:rsidR="005D421B" w:rsidRDefault="005D421B" w:rsidP="005D421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Consolidar en el alumnado los hábitos de uso correcto y cuidado del material de la                  Biblioteca.</w:t>
            </w:r>
          </w:p>
          <w:p w:rsidR="005D421B" w:rsidRDefault="005D421B" w:rsidP="005D421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Continuar en el desarrollo de la formación de usuarios de bibliotecas en los alumnos.</w:t>
            </w:r>
          </w:p>
          <w:p w:rsidR="005D421B" w:rsidRDefault="005D421B" w:rsidP="005D421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Continuar el proceso de transformación de la biblioteca en un espacio dinamizador.</w:t>
            </w:r>
          </w:p>
          <w:p w:rsidR="005D421B" w:rsidRDefault="005D421B" w:rsidP="005D421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Ofrecer formación básica a los tutores/as en el manejo del programa ABIES para  agilizar la tarea de préstamos y devoluciones.</w:t>
            </w:r>
          </w:p>
          <w:p w:rsidR="005D421B" w:rsidRDefault="005D421B" w:rsidP="005D421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Completar y actualizar la catalogación de f</w:t>
            </w:r>
            <w:r w:rsidR="00081F95">
              <w:rPr>
                <w:rFonts w:ascii="Cambria" w:hAnsi="Cambria" w:cs="Cambria"/>
                <w:color w:val="000000"/>
                <w:sz w:val="24"/>
                <w:szCs w:val="24"/>
              </w:rPr>
              <w:t>ondos.</w:t>
            </w:r>
          </w:p>
          <w:p w:rsidR="005D421B" w:rsidRDefault="005D421B" w:rsidP="005D421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Favorecer la colaboración de las familias y de otras instituciones para transformar la Comunidad Escolar en Comunidad de Lectores. </w:t>
            </w:r>
          </w:p>
          <w:p w:rsidR="005D421B" w:rsidRDefault="005D421B" w:rsidP="005D421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Establecer relaciones con otras Bibliotecas (</w:t>
            </w:r>
            <w:r w:rsidR="00081F95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Bibliotecas escolares, </w:t>
            </w: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Biblioteca del barrio) y/o entidades para préstamos de documentos.</w:t>
            </w:r>
          </w:p>
          <w:p w:rsidR="005D421B" w:rsidRDefault="00081F95" w:rsidP="005B0629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Colocar, </w:t>
            </w:r>
            <w:r w:rsidR="005B0629" w:rsidRPr="005B0629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 en</w:t>
            </w:r>
            <w:r w:rsidR="005D421B" w:rsidRPr="005B0629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 la  web del centro en el aparta</w:t>
            </w:r>
            <w:r w:rsidR="005B0629" w:rsidRPr="005B0629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do de la biblioteca,  toda </w:t>
            </w:r>
            <w:r w:rsidR="005D421B" w:rsidRPr="005B0629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 la información necesaria para los alumnos, maestros y otros organismos.</w:t>
            </w:r>
          </w:p>
          <w:p w:rsidR="00E06CCD" w:rsidRDefault="00E06CCD" w:rsidP="005B0629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Fomentar la lectura al aire libre. La “</w:t>
            </w:r>
            <w:proofErr w:type="spellStart"/>
            <w:r>
              <w:rPr>
                <w:rFonts w:ascii="Cambria" w:hAnsi="Cambria" w:cs="Cambria"/>
                <w:bCs/>
                <w:sz w:val="24"/>
                <w:szCs w:val="24"/>
              </w:rPr>
              <w:t>Biblio</w:t>
            </w:r>
            <w:proofErr w:type="spellEnd"/>
            <w:r>
              <w:rPr>
                <w:rFonts w:ascii="Cambria" w:hAnsi="Cambria" w:cs="Cambria"/>
                <w:bCs/>
                <w:sz w:val="24"/>
                <w:szCs w:val="24"/>
              </w:rPr>
              <w:t>-patio”.</w:t>
            </w:r>
          </w:p>
          <w:p w:rsidR="005B0629" w:rsidRDefault="005B0629" w:rsidP="005B0629">
            <w:pPr>
              <w:tabs>
                <w:tab w:val="left" w:pos="360"/>
              </w:tabs>
              <w:suppressAutoHyphens/>
              <w:ind w:left="180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</w:p>
        </w:tc>
      </w:tr>
      <w:tr w:rsidR="005D421B" w:rsidTr="003D277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1B" w:rsidRDefault="005D421B" w:rsidP="005D421B">
            <w:pPr>
              <w:pStyle w:val="Ttulo5"/>
              <w:numPr>
                <w:ilvl w:val="4"/>
                <w:numId w:val="2"/>
              </w:numPr>
              <w:suppressAutoHyphens/>
              <w:spacing w:before="0" w:after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i w:val="0"/>
                <w:color w:val="000000"/>
                <w:sz w:val="24"/>
                <w:szCs w:val="24"/>
              </w:rPr>
              <w:t>ACTUACIONES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1B" w:rsidRDefault="005D421B" w:rsidP="003D2779">
            <w:pPr>
              <w:jc w:val="center"/>
            </w:pPr>
            <w:r>
              <w:rPr>
                <w:rFonts w:ascii="Cambria" w:hAnsi="Cambria" w:cs="Cambria"/>
                <w:b/>
                <w:color w:val="000000"/>
              </w:rPr>
              <w:t>TEMPORALIZACIÓN</w:t>
            </w:r>
          </w:p>
        </w:tc>
      </w:tr>
      <w:tr w:rsidR="005D421B" w:rsidTr="003D2779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1B" w:rsidRDefault="005D421B" w:rsidP="003D2779">
            <w:pPr>
              <w:tabs>
                <w:tab w:val="left" w:pos="495"/>
              </w:tabs>
              <w:snapToGrid w:val="0"/>
              <w:rPr>
                <w:rFonts w:ascii="Cambria" w:hAnsi="Cambria" w:cs="Cambri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1.1. Renovar la decoración de ciertas partes de la biblioteca y actualizar otras.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1.2 Mantener ordenada la biblioteca. (plano visible de la colocación de las mesas)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1.3. Difundir las normas de la biblioteca entre nuestro alumnado y profesorado. Se colocaran en un sitio muy visible para todos los usuarios.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21</w:t>
            </w:r>
            <w:r w:rsidR="005B0629">
              <w:rPr>
                <w:rFonts w:ascii="Cambria" w:hAnsi="Cambria" w:cs="Cambria"/>
                <w:color w:val="000000"/>
                <w:sz w:val="24"/>
                <w:szCs w:val="24"/>
              </w:rPr>
              <w:t>. Establecer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el horario de Biblioteca para los distintos grupos-clase  de Educación Infantil y Educación Primaria.   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2.2. Mantener la Biblioteca abierta durante el recreo para préstamos y devoluciones.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2.3. Actualizar el listado de lectores.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2.4. Editar los carnés para los nuevos lectores.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2.5. Coordinar el equipo de biblioteca para crear material de trabajo para la X</w:t>
            </w:r>
            <w:r w:rsidR="00081F95">
              <w:rPr>
                <w:rFonts w:ascii="Cambria" w:hAnsi="Cambria" w:cs="Cambria"/>
                <w:color w:val="000000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Exposición Creativa.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2.6. Montar la X</w:t>
            </w:r>
            <w:r w:rsidR="005B0629">
              <w:rPr>
                <w:rFonts w:ascii="Cambria" w:hAnsi="Cambria" w:cs="Cambria"/>
                <w:color w:val="000000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Exposición Creativa con los temas prop</w:t>
            </w:r>
            <w:r w:rsidR="005B0629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uestos para este año: </w:t>
            </w:r>
            <w:r w:rsidR="00EF4D72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VIAJES Y AVENTURAS CON LAS LECTURAS , </w:t>
            </w:r>
            <w:r w:rsidR="005B0629">
              <w:rPr>
                <w:rFonts w:ascii="Cambria" w:hAnsi="Cambria" w:cs="Cambria"/>
                <w:color w:val="000000"/>
                <w:sz w:val="24"/>
                <w:szCs w:val="24"/>
              </w:rPr>
              <w:t>LAS LECTURAS POR LOS CONTINENTES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 xml:space="preserve">2.7. Fomentar las </w:t>
            </w:r>
            <w:r w:rsidR="007F166F">
              <w:rPr>
                <w:rFonts w:ascii="Cambria" w:hAnsi="Cambria" w:cs="Cambria"/>
                <w:color w:val="000000"/>
                <w:sz w:val="24"/>
                <w:szCs w:val="24"/>
              </w:rPr>
              <w:t>iniciativas,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tanto de alumnado como de profesorado, y ofrecer las oportunidades y la colaboración para la realización de cualquier actividad relacionada con la lectura.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3.1. Realizar actividades de formación de usuarios haciendo especial hincapié en el mantenimiento del orden en las estanterías.</w:t>
            </w:r>
          </w:p>
          <w:p w:rsidR="005D421B" w:rsidRDefault="005D421B" w:rsidP="003D2779">
            <w:pPr>
              <w:suppressAutoHyphens/>
              <w:ind w:left="454" w:hanging="45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3.2. Adquirir libros relacionados con el tema de la exposición creativa  y otros que se consideren atractivos para los alumnos.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3.3. Preparar la propuesta de actividades previas a los temas relacionados con el 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Plan de Bibliotecas Escolares</w:t>
            </w:r>
            <w:r w:rsidR="00723A95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para el curso 2018-19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suppressAutoHyphens/>
              <w:ind w:left="454" w:hanging="454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4.1 Establecer los grupos de “Auxiliares de Biblioteca” con el          alumnado de 5º y 6º.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5.1. Asignación de sesiones de biblioteca para todos los grupos de alumnos.</w:t>
            </w:r>
          </w:p>
          <w:p w:rsidR="005D421B" w:rsidRPr="00723A95" w:rsidRDefault="005D421B" w:rsidP="003D2779">
            <w:pPr>
              <w:ind w:left="360" w:hanging="360"/>
              <w:rPr>
                <w:rFonts w:ascii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5.2. VII Maratón de lectura </w:t>
            </w:r>
            <w:r w:rsidR="00723A95">
              <w:rPr>
                <w:rFonts w:ascii="Cambria" w:hAnsi="Cambria" w:cs="Cambria"/>
                <w:color w:val="000000"/>
                <w:sz w:val="24"/>
                <w:szCs w:val="24"/>
              </w:rPr>
              <w:t>(tema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por decidir).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6.1. Formar a los tutores/as que lo deseen en el manejo del programa ABIES para préstamo de libros.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7.1</w:t>
            </w:r>
            <w:r w:rsidR="00612C5F">
              <w:rPr>
                <w:rFonts w:ascii="Cambria" w:hAnsi="Cambria" w:cs="Cambria"/>
                <w:color w:val="000000"/>
                <w:sz w:val="24"/>
                <w:szCs w:val="24"/>
              </w:rPr>
              <w:t>. Actualizar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colecciones de libros.  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7.2</w:t>
            </w:r>
            <w:r w:rsidR="005B0629">
              <w:rPr>
                <w:rFonts w:ascii="Cambria" w:hAnsi="Cambria" w:cs="Cambria"/>
                <w:color w:val="000000"/>
                <w:sz w:val="24"/>
                <w:szCs w:val="24"/>
              </w:rPr>
              <w:t>. Actualización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de fondos desechando los antiguos. Expurgo.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8.1</w:t>
            </w:r>
            <w:r w:rsidR="005B0629">
              <w:rPr>
                <w:rFonts w:ascii="Cambria" w:hAnsi="Cambria" w:cs="Cambria"/>
                <w:color w:val="000000"/>
                <w:sz w:val="24"/>
                <w:szCs w:val="24"/>
              </w:rPr>
              <w:t>. Comunicación</w:t>
            </w:r>
            <w:r w:rsidR="00EA62E6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las</w:t>
            </w:r>
            <w:r w:rsidR="00EA62E6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familias,  a través de la página web del centro,   de lecturas recomendadas para sus hijos.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8.2</w:t>
            </w:r>
            <w:r w:rsidR="005B0629">
              <w:rPr>
                <w:rFonts w:ascii="Cambria" w:hAnsi="Cambria" w:cs="Cambria"/>
                <w:color w:val="000000"/>
                <w:sz w:val="24"/>
                <w:szCs w:val="24"/>
              </w:rPr>
              <w:t>. Solicitar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el compromiso por parte de las familias de los quince minutos de lectura  diaria en casa.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8.3. Colaborar con las familias y con otras instituciones para llevar a cabo distintas activida</w:t>
            </w:r>
            <w:r w:rsidR="00E62083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des en la biblioteca del centro: cuenta cuentos, encuentro con autores, ilustradores, </w:t>
            </w:r>
            <w:proofErr w:type="spellStart"/>
            <w:r w:rsidR="00E62083">
              <w:rPr>
                <w:rFonts w:ascii="Cambria" w:hAnsi="Cambria" w:cs="Cambria"/>
                <w:color w:val="000000"/>
                <w:sz w:val="24"/>
                <w:szCs w:val="24"/>
              </w:rPr>
              <w:t>etc</w:t>
            </w:r>
            <w:proofErr w:type="spellEnd"/>
            <w:r w:rsidR="00E62083">
              <w:rPr>
                <w:rFonts w:ascii="Cambria" w:hAnsi="Cambria" w:cs="Cambria"/>
                <w:color w:val="000000"/>
                <w:sz w:val="24"/>
                <w:szCs w:val="24"/>
              </w:rPr>
              <w:t>…</w:t>
            </w:r>
          </w:p>
          <w:p w:rsidR="00E62083" w:rsidRPr="00E62083" w:rsidRDefault="00E62083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8.4.</w:t>
            </w:r>
            <w: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Solicitar </w:t>
            </w:r>
            <w:r w:rsidRPr="00E62083">
              <w:rPr>
                <w:rFonts w:ascii="Cambria" w:hAnsi="Cambria"/>
                <w:sz w:val="24"/>
                <w:szCs w:val="24"/>
              </w:rPr>
              <w:t xml:space="preserve"> la colaboración e implicación de padres</w:t>
            </w:r>
            <w:r>
              <w:rPr>
                <w:rFonts w:ascii="Cambria" w:hAnsi="Cambria"/>
                <w:sz w:val="24"/>
                <w:szCs w:val="24"/>
              </w:rPr>
              <w:t>/madres</w:t>
            </w:r>
            <w:r w:rsidRPr="00E62083">
              <w:rPr>
                <w:rFonts w:ascii="Cambria" w:hAnsi="Cambria"/>
                <w:sz w:val="24"/>
                <w:szCs w:val="24"/>
              </w:rPr>
              <w:t xml:space="preserve"> en las tareas de catalogación y dinamización mediante la configuración de un Equipo de biblioteca.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9.1</w:t>
            </w:r>
            <w:r w:rsidR="005B0629">
              <w:rPr>
                <w:rFonts w:ascii="Cambria" w:hAnsi="Cambria" w:cs="Cambria"/>
                <w:color w:val="000000"/>
                <w:sz w:val="24"/>
                <w:szCs w:val="24"/>
              </w:rPr>
              <w:t>. Participación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en actividades de la Biblioteca de Barrio y visitas con los alumnos: cuentacuentos, talleres, charlas, etc.</w:t>
            </w:r>
          </w:p>
          <w:p w:rsidR="00081F95" w:rsidRDefault="00081F95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9.2. Solicitar, en préstamo, lotes de libros de otras bibliotecas escolares a través del Grupo de Bibliotecas Escolares en Red (</w:t>
            </w:r>
            <w:proofErr w:type="spell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BeRed</w:t>
            </w:r>
            <w:proofErr w:type="spell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>) del que formamos parte.</w:t>
            </w:r>
          </w:p>
          <w:p w:rsidR="00081F95" w:rsidRDefault="00081F95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9.3. Solicitar, en préstamo, libros y lotes de libros a la biblioteca del barrio.</w:t>
            </w:r>
          </w:p>
          <w:p w:rsidR="00081F95" w:rsidRDefault="00081F95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9.4. Préstamo de lotes de libros a otras bibliotecas escolares del Grupo </w:t>
            </w:r>
            <w:proofErr w:type="spell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BeRed</w:t>
            </w:r>
            <w:proofErr w:type="spell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</w:p>
          <w:p w:rsidR="005D421B" w:rsidRDefault="005D421B" w:rsidP="003D2779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EA62E6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10.1</w:t>
            </w:r>
            <w:r w:rsidR="00EA62E6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Introdución  y actualización de toda la </w:t>
            </w:r>
            <w:r w:rsidR="005B0629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62E6">
              <w:rPr>
                <w:rFonts w:ascii="Cambria" w:hAnsi="Cambria" w:cs="Cambria"/>
                <w:color w:val="000000"/>
                <w:sz w:val="24"/>
                <w:szCs w:val="24"/>
              </w:rPr>
              <w:t>información relativa a la biblioteca</w:t>
            </w:r>
            <w:r w:rsidR="005B0629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="00EA62E6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en la web del centro. </w:t>
            </w:r>
          </w:p>
          <w:p w:rsidR="00E06CCD" w:rsidRDefault="00E06CCD" w:rsidP="00EA62E6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E06CCD" w:rsidRPr="00E06CCD" w:rsidRDefault="00E06CCD" w:rsidP="00E06CCD">
            <w:pPr>
              <w:pStyle w:val="Prrafodelista"/>
              <w:numPr>
                <w:ilvl w:val="1"/>
                <w:numId w:val="5"/>
              </w:numPr>
              <w:ind w:left="613" w:hanging="567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E06CCD"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>Llevar la lectura de libros al patio de recreo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. La “</w:t>
            </w:r>
            <w:proofErr w:type="spellStart"/>
            <w:r>
              <w:rPr>
                <w:rFonts w:ascii="Cambria" w:hAnsi="Cambria" w:cs="Cambria"/>
                <w:color w:val="000000"/>
                <w:sz w:val="24"/>
                <w:szCs w:val="24"/>
              </w:rPr>
              <w:t>Biblio</w:t>
            </w:r>
            <w:proofErr w:type="spellEnd"/>
            <w:r>
              <w:rPr>
                <w:rFonts w:ascii="Cambria" w:hAnsi="Cambria" w:cs="Cambria"/>
                <w:color w:val="000000"/>
                <w:sz w:val="24"/>
                <w:szCs w:val="24"/>
              </w:rPr>
              <w:t>-patio” consistiría en tener un carrito con libros para poder leer en el patio durante el recreo. Se</w:t>
            </w:r>
            <w:r w:rsidR="00972B41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buscaría un espacio adecuado dónde los niños podrían disfrutar del recreo de forma diferente.</w:t>
            </w:r>
          </w:p>
          <w:p w:rsidR="00EA62E6" w:rsidRDefault="00EA62E6" w:rsidP="00EA62E6">
            <w:pPr>
              <w:ind w:left="360" w:hanging="36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1B" w:rsidRDefault="005D421B" w:rsidP="003D2779">
            <w:pPr>
              <w:snapToGri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inicio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todo el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inicio curso</w:t>
            </w:r>
          </w:p>
          <w:p w:rsidR="005D421B" w:rsidRDefault="005D421B" w:rsidP="003D2779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todo el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todo el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inicio de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inicio de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segundo trimestre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tercer trimestre</w:t>
            </w:r>
          </w:p>
          <w:p w:rsidR="005D421B" w:rsidRDefault="005D421B" w:rsidP="003D2779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lastRenderedPageBreak/>
              <w:t>todo el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todo el curso</w:t>
            </w:r>
          </w:p>
          <w:p w:rsidR="005D421B" w:rsidRDefault="005D421B" w:rsidP="003D2779">
            <w:pPr>
              <w:pStyle w:val="Textoindependiente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pStyle w:val="Textoindependiente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segundo trimestres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inicio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inicio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inicio de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Día del libro 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todo el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todo el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todo el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cada trimestre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todo el curso</w:t>
            </w:r>
          </w:p>
          <w:p w:rsidR="005D421B" w:rsidRDefault="005D421B" w:rsidP="003D2779">
            <w:pPr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todo el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todo el curso</w:t>
            </w: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5D421B" w:rsidRDefault="005D421B" w:rsidP="003D2779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todo el curso</w:t>
            </w:r>
          </w:p>
          <w:p w:rsidR="005D421B" w:rsidRDefault="005D421B" w:rsidP="00EA62E6">
            <w:pPr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5D421B" w:rsidTr="003D2779">
        <w:trPr>
          <w:cantSplit/>
        </w:trPr>
        <w:tc>
          <w:tcPr>
            <w:tcW w:w="9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1B" w:rsidRDefault="005D421B" w:rsidP="005D421B">
            <w:pPr>
              <w:pStyle w:val="Ttulo5"/>
              <w:numPr>
                <w:ilvl w:val="4"/>
                <w:numId w:val="2"/>
              </w:numPr>
              <w:suppressAutoHyphens/>
              <w:spacing w:before="0" w:after="0"/>
              <w:jc w:val="center"/>
            </w:pPr>
            <w:r>
              <w:rPr>
                <w:rFonts w:ascii="Cambria" w:hAnsi="Cambria" w:cs="Cambria"/>
                <w:i w:val="0"/>
                <w:color w:val="000000"/>
                <w:sz w:val="24"/>
                <w:szCs w:val="24"/>
              </w:rPr>
              <w:lastRenderedPageBreak/>
              <w:t>RECURSOS NECESARIOS</w:t>
            </w:r>
          </w:p>
        </w:tc>
      </w:tr>
      <w:tr w:rsidR="005D421B" w:rsidTr="003D2779">
        <w:trPr>
          <w:cantSplit/>
          <w:trHeight w:val="1600"/>
        </w:trPr>
        <w:tc>
          <w:tcPr>
            <w:tcW w:w="9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1B" w:rsidRDefault="005D421B" w:rsidP="003D2779">
            <w:pPr>
              <w:snapToGrid w:val="0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</w:p>
          <w:p w:rsidR="005D421B" w:rsidRDefault="005D421B" w:rsidP="005D421B">
            <w:pPr>
              <w:numPr>
                <w:ilvl w:val="0"/>
                <w:numId w:val="3"/>
              </w:numPr>
              <w:suppressAutoHyphens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Dotación económica para la adquisición de fondos bibliográficos o de otro tipo.</w:t>
            </w:r>
          </w:p>
          <w:p w:rsidR="005D421B" w:rsidRDefault="005D421B" w:rsidP="005D421B">
            <w:pPr>
              <w:numPr>
                <w:ilvl w:val="0"/>
                <w:numId w:val="3"/>
              </w:numPr>
              <w:suppressAutoHyphens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Bibliografía de apoyo para la elaboración de las diferentes actuaciones.</w:t>
            </w:r>
          </w:p>
          <w:p w:rsidR="005D421B" w:rsidRPr="00EA62E6" w:rsidRDefault="005D421B" w:rsidP="005D421B">
            <w:pPr>
              <w:numPr>
                <w:ilvl w:val="0"/>
                <w:numId w:val="3"/>
              </w:numPr>
              <w:suppressAutoHyphens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Material fungible para la elaboración de materiales de aula.</w:t>
            </w:r>
          </w:p>
          <w:p w:rsidR="00EA62E6" w:rsidRPr="00EA62E6" w:rsidRDefault="00EA62E6" w:rsidP="005D421B">
            <w:pPr>
              <w:numPr>
                <w:ilvl w:val="0"/>
                <w:numId w:val="3"/>
              </w:numPr>
              <w:suppressAutoHyphens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Compra de 2 estanterías.</w:t>
            </w:r>
          </w:p>
          <w:p w:rsidR="00EA62E6" w:rsidRDefault="00EA62E6" w:rsidP="005D421B">
            <w:pPr>
              <w:numPr>
                <w:ilvl w:val="0"/>
                <w:numId w:val="3"/>
              </w:numPr>
              <w:suppressAutoHyphens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Compra de marcos para enmarcar  las normas de la biblioteca y otros láminas decorativas.</w:t>
            </w:r>
          </w:p>
          <w:p w:rsidR="005D421B" w:rsidRDefault="005D421B" w:rsidP="003D2779">
            <w:pPr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EF4D72">
              <w:rPr>
                <w:rFonts w:ascii="Cambria" w:hAnsi="Cambria" w:cs="Cambria"/>
                <w:color w:val="000000"/>
                <w:sz w:val="24"/>
                <w:szCs w:val="24"/>
              </w:rPr>
              <w:t>Total. 1000</w:t>
            </w:r>
            <w:r>
              <w:rPr>
                <w:rFonts w:ascii="Cambria" w:hAnsi="Cambria" w:cs="Cambria"/>
                <w:color w:val="000000"/>
                <w:sz w:val="24"/>
                <w:szCs w:val="24"/>
              </w:rPr>
              <w:t>- euros</w:t>
            </w:r>
          </w:p>
          <w:p w:rsidR="005D421B" w:rsidRDefault="005D421B" w:rsidP="003D2779">
            <w:pPr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5D421B" w:rsidTr="003D2779">
        <w:trPr>
          <w:cantSplit/>
        </w:trPr>
        <w:tc>
          <w:tcPr>
            <w:tcW w:w="9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1B" w:rsidRDefault="005D421B" w:rsidP="003D2779">
            <w:pPr>
              <w:jc w:val="center"/>
            </w:pPr>
            <w:r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INDICADORES DE EVALUACIÓN</w:t>
            </w:r>
          </w:p>
        </w:tc>
      </w:tr>
      <w:tr w:rsidR="005D421B" w:rsidTr="003D2779">
        <w:trPr>
          <w:cantSplit/>
        </w:trPr>
        <w:tc>
          <w:tcPr>
            <w:tcW w:w="9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1B" w:rsidRDefault="005D421B" w:rsidP="005D421B">
            <w:pPr>
              <w:numPr>
                <w:ilvl w:val="2"/>
                <w:numId w:val="4"/>
              </w:numPr>
              <w:tabs>
                <w:tab w:val="left" w:pos="360"/>
              </w:tabs>
              <w:suppressAutoHyphens/>
              <w:ind w:left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Grado de satisfacción de los miembros que componen la comisión con el trabajo realizado.</w:t>
            </w:r>
          </w:p>
          <w:p w:rsidR="005D421B" w:rsidRDefault="005D421B" w:rsidP="005D421B">
            <w:pPr>
              <w:numPr>
                <w:ilvl w:val="2"/>
                <w:numId w:val="4"/>
              </w:numPr>
              <w:tabs>
                <w:tab w:val="left" w:pos="360"/>
              </w:tabs>
              <w:suppressAutoHyphens/>
              <w:ind w:left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Nivel de logros en relación a los objetivos y actuaciones planificadas. Grado de incidencia.</w:t>
            </w:r>
          </w:p>
          <w:p w:rsidR="005D421B" w:rsidRDefault="005D421B" w:rsidP="005D421B">
            <w:pPr>
              <w:numPr>
                <w:ilvl w:val="2"/>
                <w:numId w:val="4"/>
              </w:numPr>
              <w:tabs>
                <w:tab w:val="left" w:pos="360"/>
              </w:tabs>
              <w:suppressAutoHyphens/>
              <w:ind w:left="36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Consecución del objetivo del manejo del ABIES en relación al préstamo-devolución. </w:t>
            </w:r>
          </w:p>
          <w:p w:rsidR="005D421B" w:rsidRDefault="005D421B" w:rsidP="005D421B">
            <w:pPr>
              <w:numPr>
                <w:ilvl w:val="0"/>
                <w:numId w:val="6"/>
              </w:numPr>
              <w:suppressAutoHyphens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Implicación y ejercicio de las responsabilidades asumidas.</w:t>
            </w:r>
          </w:p>
          <w:p w:rsidR="005D421B" w:rsidRDefault="005D421B" w:rsidP="005D421B">
            <w:pPr>
              <w:numPr>
                <w:ilvl w:val="0"/>
                <w:numId w:val="6"/>
              </w:numPr>
              <w:suppressAutoHyphens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De los recursos necesarios para el desarrollo de lo programado.</w:t>
            </w:r>
          </w:p>
          <w:p w:rsidR="005D421B" w:rsidRDefault="005D421B" w:rsidP="003D2779">
            <w:pPr>
              <w:jc w:val="both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9F49ED" w:rsidRDefault="009F49ED" w:rsidP="00F0292A">
      <w:pPr>
        <w:ind w:firstLine="708"/>
        <w:jc w:val="both"/>
      </w:pPr>
      <w:bookmarkStart w:id="0" w:name="_GoBack"/>
      <w:bookmarkEnd w:id="0"/>
    </w:p>
    <w:sectPr w:rsidR="009F49ED" w:rsidSect="00417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9D16F1F0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mbria" w:hAnsi="Cambria" w:cs="Cambria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F6B05EB"/>
    <w:multiLevelType w:val="hybridMultilevel"/>
    <w:tmpl w:val="74C89246"/>
    <w:lvl w:ilvl="0" w:tplc="0C0A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92A"/>
    <w:rsid w:val="00081F95"/>
    <w:rsid w:val="000C1C83"/>
    <w:rsid w:val="0011494C"/>
    <w:rsid w:val="002006AE"/>
    <w:rsid w:val="0041745D"/>
    <w:rsid w:val="005B0629"/>
    <w:rsid w:val="005D421B"/>
    <w:rsid w:val="00612C5F"/>
    <w:rsid w:val="00723A95"/>
    <w:rsid w:val="00794E90"/>
    <w:rsid w:val="007F166F"/>
    <w:rsid w:val="00807F3B"/>
    <w:rsid w:val="008F226D"/>
    <w:rsid w:val="00972B41"/>
    <w:rsid w:val="009F49ED"/>
    <w:rsid w:val="009F4D06"/>
    <w:rsid w:val="00A25B36"/>
    <w:rsid w:val="00A30CDA"/>
    <w:rsid w:val="00B70792"/>
    <w:rsid w:val="00D97D91"/>
    <w:rsid w:val="00E06CCD"/>
    <w:rsid w:val="00E549F7"/>
    <w:rsid w:val="00E62083"/>
    <w:rsid w:val="00EA62E6"/>
    <w:rsid w:val="00ED3014"/>
    <w:rsid w:val="00EF4D72"/>
    <w:rsid w:val="00F0292A"/>
    <w:rsid w:val="00F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5D42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D421B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5D4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42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421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5AD14-F929-475E-B23A-44E2244E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juanjo pastor</cp:lastModifiedBy>
  <cp:revision>7</cp:revision>
  <dcterms:created xsi:type="dcterms:W3CDTF">2018-10-03T23:48:00Z</dcterms:created>
  <dcterms:modified xsi:type="dcterms:W3CDTF">2018-10-21T08:35:00Z</dcterms:modified>
</cp:coreProperties>
</file>